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11" w:rsidRPr="00244EFC" w:rsidRDefault="00024B11" w:rsidP="00024B11">
      <w:pPr>
        <w:jc w:val="center"/>
        <w:rPr>
          <w:b/>
          <w:bCs/>
          <w:w w:val="102"/>
          <w:sz w:val="26"/>
          <w:szCs w:val="26"/>
        </w:rPr>
      </w:pPr>
      <w:r w:rsidRPr="00244EFC">
        <w:rPr>
          <w:b/>
          <w:w w:val="102"/>
          <w:sz w:val="26"/>
          <w:szCs w:val="26"/>
        </w:rPr>
        <w:t>PHỤ LỤC:</w:t>
      </w:r>
      <w:r w:rsidRPr="00244EFC">
        <w:rPr>
          <w:b/>
          <w:bCs/>
          <w:w w:val="102"/>
          <w:sz w:val="26"/>
          <w:szCs w:val="26"/>
        </w:rPr>
        <w:t xml:space="preserve"> CHỈ TIÊU BẢO VỆ MÔI TRƯỜNG TỪ NĂM 2021 ĐẾN 2025 </w:t>
      </w:r>
    </w:p>
    <w:p w:rsidR="00024B11" w:rsidRPr="00244EFC" w:rsidRDefault="00024B11" w:rsidP="00024B11">
      <w:pPr>
        <w:jc w:val="center"/>
        <w:rPr>
          <w:i/>
          <w:iCs/>
          <w:w w:val="102"/>
          <w:sz w:val="24"/>
          <w:szCs w:val="26"/>
        </w:rPr>
      </w:pPr>
      <w:r w:rsidRPr="00244EFC">
        <w:rPr>
          <w:i/>
          <w:iCs/>
          <w:w w:val="102"/>
          <w:sz w:val="24"/>
          <w:szCs w:val="26"/>
        </w:rPr>
        <w:t xml:space="preserve">(Ban hành kèm </w:t>
      </w:r>
      <w:proofErr w:type="gramStart"/>
      <w:r w:rsidRPr="00244EFC">
        <w:rPr>
          <w:i/>
          <w:iCs/>
          <w:w w:val="102"/>
          <w:sz w:val="24"/>
          <w:szCs w:val="26"/>
        </w:rPr>
        <w:t>theo</w:t>
      </w:r>
      <w:proofErr w:type="gramEnd"/>
      <w:r w:rsidRPr="00244EFC">
        <w:rPr>
          <w:i/>
          <w:iCs/>
          <w:w w:val="102"/>
          <w:sz w:val="24"/>
          <w:szCs w:val="26"/>
        </w:rPr>
        <w:t xml:space="preserve"> Chương trình hành động số       CTr/TU ngày    /8/2021 của Tỉnh ủy)</w:t>
      </w:r>
    </w:p>
    <w:p w:rsidR="00024B11" w:rsidRPr="00244EFC" w:rsidRDefault="00024B11" w:rsidP="00024B11">
      <w:pPr>
        <w:jc w:val="center"/>
        <w:rPr>
          <w:iCs/>
          <w:w w:val="102"/>
          <w:sz w:val="26"/>
          <w:szCs w:val="26"/>
        </w:rPr>
      </w:pPr>
      <w:r w:rsidRPr="00244EFC">
        <w:rPr>
          <w:iCs/>
          <w:w w:val="102"/>
          <w:sz w:val="26"/>
          <w:szCs w:val="26"/>
        </w:rPr>
        <w:t>-----</w:t>
      </w:r>
    </w:p>
    <w:tbl>
      <w:tblPr>
        <w:tblStyle w:val="TableGrid"/>
        <w:tblW w:w="10435" w:type="dxa"/>
        <w:tblInd w:w="-736" w:type="dxa"/>
        <w:tblLayout w:type="fixed"/>
        <w:tblCellMar>
          <w:left w:w="115" w:type="dxa"/>
          <w:right w:w="115" w:type="dxa"/>
        </w:tblCellMar>
        <w:tblLook w:val="04A0" w:firstRow="1" w:lastRow="0" w:firstColumn="1" w:lastColumn="0" w:noHBand="0" w:noVBand="1"/>
      </w:tblPr>
      <w:tblGrid>
        <w:gridCol w:w="567"/>
        <w:gridCol w:w="3502"/>
        <w:gridCol w:w="1885"/>
        <w:gridCol w:w="2070"/>
        <w:gridCol w:w="2411"/>
      </w:tblGrid>
      <w:tr w:rsidR="00024B11" w:rsidRPr="00244EFC" w:rsidTr="00407F5F">
        <w:trPr>
          <w:trHeight w:val="709"/>
        </w:trPr>
        <w:tc>
          <w:tcPr>
            <w:tcW w:w="567" w:type="dxa"/>
            <w:tcBorders>
              <w:bottom w:val="single" w:sz="4" w:space="0" w:color="auto"/>
            </w:tcBorders>
            <w:shd w:val="clear" w:color="auto" w:fill="FFFFFF" w:themeFill="background1"/>
            <w:vAlign w:val="center"/>
          </w:tcPr>
          <w:p w:rsidR="00024B11" w:rsidRPr="00244EFC" w:rsidRDefault="00024B11" w:rsidP="00407F5F">
            <w:pPr>
              <w:jc w:val="center"/>
              <w:rPr>
                <w:b/>
                <w:w w:val="102"/>
                <w:sz w:val="26"/>
                <w:szCs w:val="26"/>
              </w:rPr>
            </w:pPr>
            <w:r w:rsidRPr="0066482F">
              <w:rPr>
                <w:b/>
                <w:w w:val="102"/>
                <w:sz w:val="24"/>
                <w:szCs w:val="26"/>
              </w:rPr>
              <w:t>TT</w:t>
            </w:r>
          </w:p>
        </w:tc>
        <w:tc>
          <w:tcPr>
            <w:tcW w:w="3502" w:type="dxa"/>
            <w:shd w:val="clear" w:color="auto" w:fill="FFFFFF" w:themeFill="background1"/>
            <w:vAlign w:val="center"/>
          </w:tcPr>
          <w:p w:rsidR="00024B11" w:rsidRPr="00244EFC" w:rsidRDefault="00024B11" w:rsidP="00407F5F">
            <w:pPr>
              <w:jc w:val="center"/>
              <w:rPr>
                <w:b/>
                <w:w w:val="102"/>
                <w:sz w:val="26"/>
                <w:szCs w:val="26"/>
              </w:rPr>
            </w:pPr>
            <w:r w:rsidRPr="00244EFC">
              <w:rPr>
                <w:b/>
                <w:w w:val="102"/>
                <w:sz w:val="26"/>
                <w:szCs w:val="26"/>
              </w:rPr>
              <w:t>Nội dung yêu cầu</w:t>
            </w:r>
          </w:p>
        </w:tc>
        <w:tc>
          <w:tcPr>
            <w:tcW w:w="1885" w:type="dxa"/>
            <w:shd w:val="clear" w:color="auto" w:fill="FFFFFF" w:themeFill="background1"/>
            <w:vAlign w:val="center"/>
          </w:tcPr>
          <w:p w:rsidR="00024B11" w:rsidRPr="00244EFC" w:rsidRDefault="00024B11" w:rsidP="00407F5F">
            <w:pPr>
              <w:jc w:val="center"/>
              <w:rPr>
                <w:b/>
                <w:w w:val="102"/>
                <w:sz w:val="26"/>
                <w:szCs w:val="26"/>
              </w:rPr>
            </w:pPr>
            <w:r w:rsidRPr="00244EFC">
              <w:rPr>
                <w:b/>
                <w:w w:val="102"/>
                <w:sz w:val="26"/>
                <w:szCs w:val="26"/>
              </w:rPr>
              <w:t>Hiện trạng</w:t>
            </w:r>
          </w:p>
        </w:tc>
        <w:tc>
          <w:tcPr>
            <w:tcW w:w="2070" w:type="dxa"/>
            <w:shd w:val="clear" w:color="auto" w:fill="FFFFFF" w:themeFill="background1"/>
            <w:vAlign w:val="center"/>
          </w:tcPr>
          <w:p w:rsidR="00024B11" w:rsidRPr="00244EFC" w:rsidRDefault="00024B11" w:rsidP="00407F5F">
            <w:pPr>
              <w:jc w:val="center"/>
              <w:rPr>
                <w:b/>
                <w:w w:val="102"/>
                <w:sz w:val="26"/>
                <w:szCs w:val="26"/>
              </w:rPr>
            </w:pPr>
            <w:r w:rsidRPr="00244EFC">
              <w:rPr>
                <w:b/>
                <w:w w:val="102"/>
                <w:sz w:val="26"/>
                <w:szCs w:val="26"/>
              </w:rPr>
              <w:t>Mục tiêu</w:t>
            </w:r>
          </w:p>
        </w:tc>
        <w:tc>
          <w:tcPr>
            <w:tcW w:w="2411" w:type="dxa"/>
            <w:shd w:val="clear" w:color="auto" w:fill="FFFFFF" w:themeFill="background1"/>
            <w:vAlign w:val="center"/>
          </w:tcPr>
          <w:p w:rsidR="00024B11" w:rsidRPr="00244EFC" w:rsidRDefault="00024B11" w:rsidP="00407F5F">
            <w:pPr>
              <w:jc w:val="center"/>
              <w:rPr>
                <w:b/>
                <w:w w:val="102"/>
                <w:sz w:val="26"/>
                <w:szCs w:val="26"/>
              </w:rPr>
            </w:pPr>
            <w:r w:rsidRPr="00244EFC">
              <w:rPr>
                <w:b/>
                <w:w w:val="102"/>
                <w:sz w:val="26"/>
                <w:szCs w:val="26"/>
              </w:rPr>
              <w:t>Cơ quan chủ trì/</w:t>
            </w:r>
          </w:p>
          <w:p w:rsidR="00024B11" w:rsidRPr="00244EFC" w:rsidRDefault="00024B11" w:rsidP="00407F5F">
            <w:pPr>
              <w:jc w:val="center"/>
              <w:rPr>
                <w:b/>
                <w:w w:val="102"/>
                <w:sz w:val="26"/>
                <w:szCs w:val="26"/>
              </w:rPr>
            </w:pPr>
            <w:r w:rsidRPr="00244EFC">
              <w:rPr>
                <w:b/>
                <w:w w:val="102"/>
                <w:sz w:val="26"/>
                <w:szCs w:val="26"/>
              </w:rPr>
              <w:t>phối hợp</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ind w:left="-115"/>
              <w:jc w:val="center"/>
              <w:rPr>
                <w:rFonts w:eastAsiaTheme="minorEastAsia"/>
                <w:w w:val="102"/>
                <w:sz w:val="26"/>
                <w:szCs w:val="26"/>
                <w:lang w:eastAsia="en-US"/>
              </w:rPr>
            </w:pPr>
            <w:r w:rsidRPr="00244EFC">
              <w:rPr>
                <w:rFonts w:eastAsiaTheme="minorEastAsia"/>
                <w:w w:val="102"/>
                <w:sz w:val="26"/>
                <w:szCs w:val="26"/>
                <w:lang w:eastAsia="en-US"/>
              </w:rPr>
              <w:t>1</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Hoàn thiện các quy định pháp luật, cơ chế đặc thù về bảo vệ môi trường phù hợp với tình hình địa phương.</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ind w:right="-15"/>
              <w:rPr>
                <w:rFonts w:eastAsiaTheme="minorEastAsia"/>
                <w:i/>
                <w:iCs/>
                <w:w w:val="102"/>
                <w:sz w:val="26"/>
                <w:szCs w:val="26"/>
                <w:lang w:eastAsia="en-US"/>
              </w:rPr>
            </w:pPr>
            <w:r w:rsidRPr="00244EFC">
              <w:rPr>
                <w:rFonts w:eastAsiaTheme="minorEastAsia"/>
                <w:w w:val="102"/>
                <w:sz w:val="26"/>
                <w:szCs w:val="26"/>
                <w:lang w:eastAsia="en-US"/>
              </w:rPr>
              <w:t>Hoàn thiện cơ sở pháp luật Bảo vệ môi trường</w:t>
            </w:r>
          </w:p>
        </w:tc>
        <w:tc>
          <w:tcPr>
            <w:tcW w:w="2411" w:type="dxa"/>
            <w:vAlign w:val="center"/>
          </w:tcPr>
          <w:p w:rsidR="00024B11" w:rsidRPr="00244EFC" w:rsidRDefault="00024B11" w:rsidP="00407F5F">
            <w:pPr>
              <w:ind w:firstLine="72"/>
              <w:contextualSpacing/>
              <w:jc w:val="left"/>
              <w:rPr>
                <w:rFonts w:eastAsiaTheme="minorEastAsia"/>
                <w:i/>
                <w:iCs/>
                <w:w w:val="102"/>
                <w:sz w:val="26"/>
                <w:szCs w:val="26"/>
                <w:lang w:eastAsia="en-US"/>
              </w:rPr>
            </w:pPr>
            <w:r w:rsidRPr="00244EFC">
              <w:rPr>
                <w:rFonts w:eastAsiaTheme="minorEastAsia"/>
                <w:w w:val="102"/>
                <w:sz w:val="26"/>
                <w:szCs w:val="26"/>
                <w:lang w:eastAsia="en-US"/>
              </w:rPr>
              <w:t>Sở TN&amp;MT/Sở Tư pháp</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2</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Tuyên truyền nâng cao nhận thức về</w:t>
            </w:r>
            <w:r w:rsidRPr="00244EFC">
              <w:rPr>
                <w:rFonts w:eastAsia="Microsoft JhengHei UI"/>
                <w:w w:val="102"/>
                <w:kern w:val="1"/>
                <w:sz w:val="26"/>
                <w:szCs w:val="26"/>
                <w:lang w:val="vi-VN" w:eastAsia="en-US"/>
              </w:rPr>
              <w:t xml:space="preserve"> kiến thức bảo vệ môi trường sống </w:t>
            </w:r>
            <w:r w:rsidRPr="00244EFC">
              <w:rPr>
                <w:rFonts w:eastAsiaTheme="minorEastAsia"/>
                <w:w w:val="102"/>
                <w:sz w:val="26"/>
                <w:szCs w:val="26"/>
                <w:lang w:val="vi-VN" w:eastAsia="en-US"/>
              </w:rPr>
              <w:t>và thích ứng với biến đổi khí hậu</w:t>
            </w:r>
            <w:r w:rsidRPr="00244EFC">
              <w:rPr>
                <w:rFonts w:eastAsiaTheme="minorEastAsia"/>
                <w:w w:val="102"/>
                <w:sz w:val="26"/>
                <w:szCs w:val="26"/>
                <w:lang w:eastAsia="en-US"/>
              </w:rPr>
              <w:t>.</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ind w:left="-104" w:right="-105"/>
              <w:rPr>
                <w:rFonts w:eastAsiaTheme="minorEastAsia"/>
                <w:i/>
                <w:iCs/>
                <w:w w:val="102"/>
                <w:sz w:val="26"/>
                <w:szCs w:val="26"/>
                <w:lang w:eastAsia="en-US"/>
              </w:rPr>
            </w:pPr>
            <w:r w:rsidRPr="00244EFC">
              <w:rPr>
                <w:rFonts w:eastAsia="Microsoft JhengHei UI"/>
                <w:w w:val="102"/>
                <w:kern w:val="1"/>
                <w:sz w:val="26"/>
                <w:szCs w:val="26"/>
                <w:lang w:val="vi-VN" w:eastAsia="en-US"/>
              </w:rPr>
              <w:t xml:space="preserve">100% hộ gia đình hiểu biết, có kiến thức bảo vệ môi trường sống </w:t>
            </w:r>
            <w:r w:rsidRPr="00244EFC">
              <w:rPr>
                <w:rFonts w:eastAsiaTheme="minorEastAsia"/>
                <w:w w:val="102"/>
                <w:sz w:val="26"/>
                <w:szCs w:val="26"/>
                <w:lang w:val="vi-VN" w:eastAsia="en-US"/>
              </w:rPr>
              <w:t>và thích ứng với biến đổi khí hậu</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 UBND các huyện, thị xã, thành phố</w:t>
            </w:r>
            <w:r w:rsidRPr="00244EFC">
              <w:rPr>
                <w:rFonts w:eastAsiaTheme="minorEastAsia"/>
                <w:w w:val="102"/>
                <w:sz w:val="26"/>
                <w:szCs w:val="26"/>
                <w:lang w:eastAsia="en-US"/>
              </w:rPr>
              <w:br/>
              <w:t>- Sở TN&amp;MT</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3</w:t>
            </w:r>
          </w:p>
        </w:tc>
        <w:tc>
          <w:tcPr>
            <w:tcW w:w="3502" w:type="dxa"/>
            <w:vAlign w:val="center"/>
          </w:tcPr>
          <w:p w:rsidR="00024B11" w:rsidRPr="00244EFC" w:rsidRDefault="00024B11" w:rsidP="00407F5F">
            <w:pPr>
              <w:topLinePunct/>
              <w:spacing w:after="120"/>
              <w:rPr>
                <w:rFonts w:eastAsiaTheme="minorEastAsia"/>
                <w:i/>
                <w:iCs/>
                <w:w w:val="102"/>
                <w:sz w:val="26"/>
                <w:szCs w:val="26"/>
                <w:lang w:eastAsia="en-US"/>
              </w:rPr>
            </w:pPr>
            <w:r w:rsidRPr="00244EFC">
              <w:rPr>
                <w:rFonts w:eastAsia="Microsoft JhengHei UI"/>
                <w:w w:val="102"/>
                <w:kern w:val="1"/>
                <w:sz w:val="26"/>
                <w:szCs w:val="26"/>
                <w:lang w:val="vi-VN" w:eastAsia="en-US"/>
              </w:rPr>
              <w:t>Khu</w:t>
            </w:r>
            <w:r w:rsidRPr="00244EFC">
              <w:rPr>
                <w:rFonts w:eastAsia="Microsoft JhengHei UI"/>
                <w:w w:val="102"/>
                <w:kern w:val="1"/>
                <w:sz w:val="26"/>
                <w:szCs w:val="26"/>
                <w:lang w:eastAsia="en-US"/>
              </w:rPr>
              <w:t>, cụm</w:t>
            </w:r>
            <w:r w:rsidRPr="00244EFC">
              <w:rPr>
                <w:rFonts w:eastAsia="Microsoft JhengHei UI"/>
                <w:w w:val="102"/>
                <w:kern w:val="1"/>
                <w:sz w:val="26"/>
                <w:szCs w:val="26"/>
                <w:lang w:val="vi-VN" w:eastAsia="en-US"/>
              </w:rPr>
              <w:t xml:space="preserve"> công nghiệp, khu công nghệ cao có đầu tư cơ sở hạ tầng, có hệ thống xử lý </w:t>
            </w:r>
            <w:r w:rsidRPr="00244EFC">
              <w:rPr>
                <w:rFonts w:eastAsia="Microsoft JhengHei UI"/>
                <w:w w:val="102"/>
                <w:kern w:val="1"/>
                <w:sz w:val="26"/>
                <w:szCs w:val="26"/>
                <w:lang w:eastAsia="en-US"/>
              </w:rPr>
              <w:t>chất</w:t>
            </w:r>
            <w:r w:rsidRPr="00244EFC">
              <w:rPr>
                <w:rFonts w:eastAsia="Microsoft JhengHei UI"/>
                <w:w w:val="102"/>
                <w:kern w:val="1"/>
                <w:sz w:val="26"/>
                <w:szCs w:val="26"/>
                <w:lang w:val="vi-VN" w:eastAsia="en-US"/>
              </w:rPr>
              <w:t xml:space="preserve"> thải tập trung và hệ thống quan trắc nước thải tự động có đường truyền dữ liệu về cơ quan quản lý nhà nước trong lĩnh vực môi trường để kiểm tra, giám sát.</w:t>
            </w:r>
          </w:p>
        </w:tc>
        <w:tc>
          <w:tcPr>
            <w:tcW w:w="1885" w:type="dxa"/>
            <w:vAlign w:val="center"/>
          </w:tcPr>
          <w:p w:rsidR="00024B11" w:rsidRPr="00244EFC" w:rsidRDefault="00024B11" w:rsidP="00407F5F">
            <w:pPr>
              <w:rPr>
                <w:rFonts w:eastAsiaTheme="minorEastAsia"/>
                <w:w w:val="102"/>
                <w:sz w:val="24"/>
                <w:szCs w:val="24"/>
                <w:lang w:eastAsia="en-US"/>
              </w:rPr>
            </w:pPr>
            <w:r w:rsidRPr="00244EFC">
              <w:rPr>
                <w:rFonts w:eastAsiaTheme="minorEastAsia"/>
                <w:w w:val="102"/>
                <w:sz w:val="24"/>
                <w:szCs w:val="24"/>
                <w:lang w:eastAsia="en-US"/>
              </w:rPr>
              <w:t xml:space="preserve">- KCN: 100% có HTXLNT </w:t>
            </w:r>
          </w:p>
          <w:p w:rsidR="00024B11" w:rsidRPr="00244EFC" w:rsidRDefault="00024B11" w:rsidP="00407F5F">
            <w:pPr>
              <w:rPr>
                <w:rFonts w:eastAsiaTheme="minorEastAsia"/>
                <w:w w:val="102"/>
                <w:sz w:val="26"/>
                <w:szCs w:val="26"/>
                <w:lang w:eastAsia="en-US"/>
              </w:rPr>
            </w:pPr>
            <w:r w:rsidRPr="00244EFC">
              <w:rPr>
                <w:rFonts w:eastAsiaTheme="minorEastAsia"/>
                <w:w w:val="102"/>
                <w:sz w:val="24"/>
                <w:szCs w:val="24"/>
                <w:lang w:eastAsia="en-US"/>
              </w:rPr>
              <w:t>- Cụm CN: có 10/13 cụm có phát sinh nước thải.</w:t>
            </w:r>
            <w:r>
              <w:rPr>
                <w:rFonts w:eastAsiaTheme="minorEastAsia"/>
                <w:w w:val="102"/>
                <w:sz w:val="24"/>
                <w:szCs w:val="24"/>
                <w:lang w:eastAsia="en-US"/>
              </w:rPr>
              <w:t xml:space="preserve"> </w:t>
            </w:r>
            <w:r w:rsidRPr="00244EFC">
              <w:rPr>
                <w:rFonts w:eastAsiaTheme="minorEastAsia"/>
                <w:w w:val="102"/>
                <w:sz w:val="24"/>
                <w:szCs w:val="24"/>
                <w:lang w:eastAsia="en-US"/>
              </w:rPr>
              <w:t>Tuy nhiên chưa có cụm CN nào có  HTXLNT</w:t>
            </w: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100%</w:t>
            </w:r>
          </w:p>
        </w:tc>
        <w:tc>
          <w:tcPr>
            <w:tcW w:w="2411" w:type="dxa"/>
            <w:vAlign w:val="center"/>
          </w:tcPr>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BQL Khu Kinh tế PY</w:t>
            </w:r>
          </w:p>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UBND các huyện,TX, TP</w:t>
            </w:r>
          </w:p>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BQL Khu NNƯDCNC</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4</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Tỷ lệ dân số đô thị được cung cấp nước sạch qua hệ thống cấp nước tập trung</w:t>
            </w:r>
            <w:r w:rsidRPr="00244EFC">
              <w:rPr>
                <w:rFonts w:eastAsia="Microsoft JhengHei UI"/>
                <w:w w:val="102"/>
                <w:kern w:val="1"/>
                <w:sz w:val="26"/>
                <w:szCs w:val="26"/>
                <w:lang w:eastAsia="en-US"/>
              </w:rPr>
              <w:t>.</w:t>
            </w:r>
          </w:p>
        </w:tc>
        <w:tc>
          <w:tcPr>
            <w:tcW w:w="1885" w:type="dxa"/>
            <w:vAlign w:val="center"/>
          </w:tcPr>
          <w:p w:rsidR="00024B11" w:rsidRPr="00244EFC" w:rsidRDefault="00024B11" w:rsidP="00407F5F">
            <w:pPr>
              <w:rPr>
                <w:rFonts w:eastAsiaTheme="minorEastAsia"/>
                <w:w w:val="102"/>
                <w:sz w:val="26"/>
                <w:szCs w:val="26"/>
                <w:lang w:eastAsia="en-US"/>
              </w:rPr>
            </w:pPr>
            <w:r w:rsidRPr="00244EFC">
              <w:rPr>
                <w:rFonts w:eastAsiaTheme="minorEastAsia"/>
                <w:w w:val="102"/>
                <w:sz w:val="26"/>
                <w:szCs w:val="26"/>
                <w:lang w:eastAsia="en-US"/>
              </w:rPr>
              <w:t>Đạt 81,62 %</w:t>
            </w: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95%</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Sở Xây dựng</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5</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Nâng tỷ lệ che phủ rừng</w:t>
            </w:r>
            <w:r w:rsidRPr="00244EFC">
              <w:rPr>
                <w:rFonts w:eastAsia="Microsoft JhengHei UI"/>
                <w:w w:val="102"/>
                <w:kern w:val="1"/>
                <w:sz w:val="26"/>
                <w:szCs w:val="26"/>
                <w:lang w:eastAsia="en-US"/>
              </w:rPr>
              <w:t>.</w:t>
            </w:r>
          </w:p>
        </w:tc>
        <w:tc>
          <w:tcPr>
            <w:tcW w:w="1885" w:type="dxa"/>
            <w:vAlign w:val="center"/>
          </w:tcPr>
          <w:p w:rsidR="00024B11" w:rsidRPr="00244EFC" w:rsidRDefault="00024B11" w:rsidP="00407F5F">
            <w:pPr>
              <w:rPr>
                <w:w w:val="102"/>
                <w:sz w:val="26"/>
                <w:szCs w:val="26"/>
              </w:rPr>
            </w:pPr>
            <w:r w:rsidRPr="00244EFC">
              <w:rPr>
                <w:rFonts w:eastAsiaTheme="minorEastAsia"/>
                <w:w w:val="102"/>
                <w:sz w:val="26"/>
                <w:szCs w:val="26"/>
                <w:lang w:eastAsia="en-US"/>
              </w:rPr>
              <w:t>Đạt 45%</w:t>
            </w: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eastAsia="en-US"/>
              </w:rPr>
              <w:t>Đ</w:t>
            </w:r>
            <w:r w:rsidRPr="00244EFC">
              <w:rPr>
                <w:rFonts w:eastAsia="Microsoft JhengHei UI"/>
                <w:w w:val="102"/>
                <w:kern w:val="1"/>
                <w:sz w:val="26"/>
                <w:szCs w:val="26"/>
                <w:lang w:val="vi-VN" w:eastAsia="en-US"/>
              </w:rPr>
              <w:t>ạt khoảng 48%</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Sở NN&amp;PTNT</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6</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eastAsia="en-US"/>
              </w:rPr>
              <w:t>T</w:t>
            </w:r>
            <w:r w:rsidRPr="00244EFC">
              <w:rPr>
                <w:rFonts w:eastAsia="Microsoft JhengHei UI"/>
                <w:w w:val="102"/>
                <w:kern w:val="1"/>
                <w:sz w:val="26"/>
                <w:szCs w:val="26"/>
                <w:lang w:val="vi-VN" w:eastAsia="en-US"/>
              </w:rPr>
              <w:t>ỷ lệ dân số nông thôn được tiếp cận nước sạch theo Quy chuẩn quốc gia</w:t>
            </w:r>
            <w:r w:rsidRPr="00244EFC">
              <w:rPr>
                <w:rFonts w:eastAsia="Microsoft JhengHei UI"/>
                <w:w w:val="102"/>
                <w:kern w:val="1"/>
                <w:sz w:val="26"/>
                <w:szCs w:val="26"/>
                <w:lang w:eastAsia="en-US"/>
              </w:rPr>
              <w:t>.</w:t>
            </w:r>
            <w:r w:rsidRPr="00244EFC">
              <w:rPr>
                <w:rFonts w:eastAsia="Microsoft JhengHei UI"/>
                <w:w w:val="102"/>
                <w:kern w:val="1"/>
                <w:sz w:val="26"/>
                <w:szCs w:val="26"/>
                <w:lang w:val="vi-VN" w:eastAsia="en-US"/>
              </w:rPr>
              <w:t> </w:t>
            </w:r>
          </w:p>
        </w:tc>
        <w:tc>
          <w:tcPr>
            <w:tcW w:w="1885" w:type="dxa"/>
            <w:vAlign w:val="center"/>
          </w:tcPr>
          <w:p w:rsidR="00024B11" w:rsidRPr="00244EFC" w:rsidRDefault="00024B11" w:rsidP="00407F5F">
            <w:pPr>
              <w:rPr>
                <w:rFonts w:eastAsiaTheme="minorEastAsia"/>
                <w:w w:val="102"/>
                <w:sz w:val="26"/>
                <w:szCs w:val="26"/>
                <w:lang w:eastAsia="en-US"/>
              </w:rPr>
            </w:pPr>
            <w:r w:rsidRPr="00244EFC">
              <w:rPr>
                <w:rFonts w:eastAsiaTheme="minorEastAsia"/>
                <w:w w:val="102"/>
                <w:sz w:val="26"/>
                <w:szCs w:val="26"/>
                <w:lang w:eastAsia="en-US"/>
              </w:rPr>
              <w:t>Đạt 39,31%</w:t>
            </w: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60%</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Sở NN&amp;PTNT</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7</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Chất thải rắn y tế được xử lý đạt tiêu chuẩn</w:t>
            </w:r>
            <w:r w:rsidRPr="00244EFC">
              <w:rPr>
                <w:rFonts w:eastAsia="Microsoft JhengHei UI"/>
                <w:w w:val="102"/>
                <w:kern w:val="1"/>
                <w:sz w:val="26"/>
                <w:szCs w:val="26"/>
                <w:lang w:eastAsia="en-US"/>
              </w:rPr>
              <w:t>.</w:t>
            </w:r>
          </w:p>
        </w:tc>
        <w:tc>
          <w:tcPr>
            <w:tcW w:w="1885" w:type="dxa"/>
            <w:vAlign w:val="center"/>
          </w:tcPr>
          <w:p w:rsidR="00024B11" w:rsidRPr="00244EFC" w:rsidRDefault="00024B11" w:rsidP="00407F5F">
            <w:pPr>
              <w:rPr>
                <w:rFonts w:eastAsiaTheme="minorEastAsia"/>
                <w:w w:val="102"/>
                <w:sz w:val="26"/>
                <w:szCs w:val="26"/>
                <w:lang w:eastAsia="en-US"/>
              </w:rPr>
            </w:pPr>
            <w:r w:rsidRPr="00244EFC">
              <w:rPr>
                <w:rFonts w:eastAsiaTheme="minorEastAsia"/>
                <w:w w:val="102"/>
                <w:sz w:val="26"/>
                <w:szCs w:val="26"/>
                <w:lang w:eastAsia="en-US"/>
              </w:rPr>
              <w:t>100%</w:t>
            </w: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100%</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Sở Y Tế</w:t>
            </w:r>
          </w:p>
        </w:tc>
      </w:tr>
      <w:tr w:rsidR="00024B11" w:rsidRPr="00244EFC" w:rsidTr="00407F5F">
        <w:trPr>
          <w:trHeight w:val="709"/>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8</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Chất thải rắn đô thị được thu gom, xử lý</w:t>
            </w:r>
            <w:r w:rsidRPr="00244EFC">
              <w:rPr>
                <w:rFonts w:eastAsia="Microsoft JhengHei UI"/>
                <w:w w:val="102"/>
                <w:kern w:val="1"/>
                <w:sz w:val="26"/>
                <w:szCs w:val="26"/>
                <w:lang w:eastAsia="en-US"/>
              </w:rPr>
              <w:t>.</w:t>
            </w:r>
          </w:p>
        </w:tc>
        <w:tc>
          <w:tcPr>
            <w:tcW w:w="1885" w:type="dxa"/>
            <w:vAlign w:val="center"/>
          </w:tcPr>
          <w:p w:rsidR="00024B11" w:rsidRPr="00244EFC" w:rsidRDefault="00024B11" w:rsidP="00407F5F">
            <w:pPr>
              <w:rPr>
                <w:rFonts w:eastAsiaTheme="minorEastAsia"/>
                <w:w w:val="102"/>
                <w:sz w:val="26"/>
                <w:szCs w:val="26"/>
                <w:lang w:eastAsia="en-US"/>
              </w:rPr>
            </w:pPr>
            <w:r w:rsidRPr="00244EFC">
              <w:rPr>
                <w:rFonts w:eastAsiaTheme="minorEastAsia"/>
                <w:w w:val="102"/>
                <w:sz w:val="26"/>
                <w:szCs w:val="26"/>
                <w:lang w:eastAsia="en-US"/>
              </w:rPr>
              <w:t>78%</w:t>
            </w: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Microsoft JhengHei UI"/>
                <w:w w:val="102"/>
                <w:kern w:val="1"/>
                <w:sz w:val="26"/>
                <w:szCs w:val="26"/>
                <w:lang w:val="vi-VN" w:eastAsia="en-US"/>
              </w:rPr>
              <w:t>98%</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Sở Xây dựng</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9</w:t>
            </w:r>
          </w:p>
        </w:tc>
        <w:tc>
          <w:tcPr>
            <w:tcW w:w="3502"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val="vi-VN" w:eastAsia="en-US"/>
              </w:rPr>
              <w:t>Thực hiện đồng bộ Đề án trồng mới 15 triệu cây xanh giai đoạn 2021- 2025 trên địa bàn tỉnh, tập trung huy động</w:t>
            </w:r>
            <w:r w:rsidRPr="00244EFC">
              <w:rPr>
                <w:rFonts w:eastAsiaTheme="minorEastAsia"/>
                <w:w w:val="102"/>
                <w:sz w:val="26"/>
                <w:szCs w:val="26"/>
                <w:lang w:eastAsia="en-US"/>
              </w:rPr>
              <w:t xml:space="preserve"> mọi</w:t>
            </w:r>
            <w:r w:rsidRPr="00244EFC">
              <w:rPr>
                <w:rFonts w:eastAsiaTheme="minorEastAsia"/>
                <w:w w:val="102"/>
                <w:sz w:val="26"/>
                <w:szCs w:val="26"/>
                <w:lang w:val="vi-VN" w:eastAsia="en-US"/>
              </w:rPr>
              <w:t xml:space="preserve"> nguồn lực </w:t>
            </w:r>
            <w:r w:rsidRPr="00244EFC">
              <w:rPr>
                <w:rFonts w:eastAsiaTheme="minorEastAsia"/>
                <w:w w:val="102"/>
                <w:sz w:val="26"/>
                <w:szCs w:val="26"/>
                <w:lang w:eastAsia="en-US"/>
              </w:rPr>
              <w:t>thực hiện nhiệm vụ</w:t>
            </w:r>
            <w:r>
              <w:rPr>
                <w:rFonts w:eastAsiaTheme="minorEastAsia"/>
                <w:w w:val="102"/>
                <w:sz w:val="26"/>
                <w:szCs w:val="26"/>
                <w:lang w:eastAsia="en-US"/>
              </w:rPr>
              <w:t>.</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M</w:t>
            </w:r>
            <w:r w:rsidRPr="00244EFC">
              <w:rPr>
                <w:rFonts w:eastAsiaTheme="minorEastAsia"/>
                <w:w w:val="102"/>
                <w:sz w:val="26"/>
                <w:szCs w:val="26"/>
                <w:lang w:val="vi-VN" w:eastAsia="en-US"/>
              </w:rPr>
              <w:t xml:space="preserve">ỗi năm trồng mới 2,4 </w:t>
            </w:r>
            <w:r w:rsidRPr="00244EFC">
              <w:rPr>
                <w:rFonts w:eastAsiaTheme="minorEastAsia"/>
                <w:w w:val="102"/>
                <w:sz w:val="26"/>
                <w:szCs w:val="26"/>
                <w:lang w:eastAsia="en-US"/>
              </w:rPr>
              <w:t>triệu</w:t>
            </w:r>
            <w:r w:rsidRPr="00244EFC">
              <w:rPr>
                <w:rFonts w:eastAsiaTheme="minorEastAsia"/>
                <w:w w:val="102"/>
                <w:sz w:val="26"/>
                <w:szCs w:val="26"/>
                <w:lang w:val="vi-VN" w:eastAsia="en-US"/>
              </w:rPr>
              <w:t xml:space="preserve"> cây phân tán, 0,6 triệu cây rừng tập trung</w:t>
            </w:r>
          </w:p>
        </w:tc>
        <w:tc>
          <w:tcPr>
            <w:tcW w:w="2411" w:type="dxa"/>
            <w:vAlign w:val="center"/>
          </w:tcPr>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UBND các huyện, thị xã, thành phố</w:t>
            </w:r>
          </w:p>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 Sở NN&amp;PTNT</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10</w:t>
            </w:r>
          </w:p>
        </w:tc>
        <w:tc>
          <w:tcPr>
            <w:tcW w:w="3502" w:type="dxa"/>
            <w:vAlign w:val="center"/>
          </w:tcPr>
          <w:p w:rsidR="00024B11" w:rsidRPr="0066482F" w:rsidRDefault="00024B11" w:rsidP="00407F5F">
            <w:pPr>
              <w:rPr>
                <w:rFonts w:eastAsiaTheme="minorEastAsia"/>
                <w:spacing w:val="-4"/>
                <w:w w:val="102"/>
                <w:sz w:val="26"/>
                <w:szCs w:val="26"/>
                <w:lang w:val="vi-VN" w:eastAsia="en-US"/>
              </w:rPr>
            </w:pPr>
            <w:r w:rsidRPr="0066482F">
              <w:rPr>
                <w:rFonts w:eastAsiaTheme="minorEastAsia"/>
                <w:spacing w:val="-4"/>
                <w:w w:val="102"/>
                <w:sz w:val="26"/>
                <w:szCs w:val="26"/>
                <w:lang w:eastAsia="en-US"/>
              </w:rPr>
              <w:t>Tổ chức phân loại rác tại các hộ gia đình, chợ, trường học…, phục vụ cho việc tái sử dụng, tái chế (</w:t>
            </w:r>
            <w:r w:rsidRPr="0066482F">
              <w:rPr>
                <w:rFonts w:eastAsiaTheme="minorEastAsia"/>
                <w:i/>
                <w:spacing w:val="-4"/>
                <w:w w:val="102"/>
                <w:sz w:val="26"/>
                <w:szCs w:val="26"/>
                <w:lang w:eastAsia="en-US"/>
              </w:rPr>
              <w:t>làm phân compost, thức ăn, chất tẩy rửa...</w:t>
            </w:r>
            <w:r w:rsidRPr="0066482F">
              <w:rPr>
                <w:rFonts w:eastAsiaTheme="minorEastAsia"/>
                <w:spacing w:val="-4"/>
                <w:w w:val="102"/>
                <w:sz w:val="26"/>
                <w:szCs w:val="26"/>
                <w:lang w:eastAsia="en-US"/>
              </w:rPr>
              <w:t>).</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val="vi-VN" w:eastAsia="en-US"/>
              </w:rPr>
              <w:t>20% chất thải sinh hoạt tại các đô thị được phân loại tại nguồn</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 Sở TN&amp;MT chủ trì</w:t>
            </w:r>
            <w:r w:rsidRPr="00244EFC">
              <w:rPr>
                <w:rFonts w:eastAsiaTheme="minorEastAsia"/>
                <w:w w:val="102"/>
                <w:sz w:val="26"/>
                <w:szCs w:val="26"/>
                <w:lang w:eastAsia="en-US"/>
              </w:rPr>
              <w:br/>
              <w:t>- UBND các huyện, TX, TP phối hợp</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lastRenderedPageBreak/>
              <w:t>11</w:t>
            </w:r>
          </w:p>
        </w:tc>
        <w:tc>
          <w:tcPr>
            <w:tcW w:w="3502" w:type="dxa"/>
            <w:vAlign w:val="center"/>
          </w:tcPr>
          <w:p w:rsidR="00024B11" w:rsidRPr="00244EFC" w:rsidRDefault="00024B11" w:rsidP="00407F5F">
            <w:pPr>
              <w:rPr>
                <w:rFonts w:eastAsiaTheme="minorEastAsia"/>
                <w:w w:val="102"/>
                <w:sz w:val="26"/>
                <w:szCs w:val="26"/>
                <w:lang w:val="vi-VN" w:eastAsia="en-US"/>
              </w:rPr>
            </w:pPr>
            <w:r w:rsidRPr="00244EFC">
              <w:rPr>
                <w:rFonts w:eastAsiaTheme="minorEastAsia"/>
                <w:w w:val="102"/>
                <w:sz w:val="26"/>
                <w:szCs w:val="26"/>
                <w:lang w:eastAsia="en-US"/>
              </w:rPr>
              <w:t>Triển khai về chống rác thải nhựa các cơ quan nhà nước, cơ quan đảng, tổ chức chính trị - xã hội, đơn vị sự nghiệp công lập cấp tỉnh, cấp huyện; các siêu thị, các khu du lịch.</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 xml:space="preserve">100%  đơn vị duy trì </w:t>
            </w:r>
            <w:r w:rsidRPr="00244EFC">
              <w:rPr>
                <w:rFonts w:eastAsiaTheme="minorEastAsia"/>
                <w:w w:val="102"/>
                <w:sz w:val="26"/>
                <w:szCs w:val="26"/>
                <w:shd w:val="clear" w:color="auto" w:fill="FFFFFF"/>
                <w:lang w:eastAsia="en-US"/>
              </w:rPr>
              <w:t>phong trào "</w:t>
            </w:r>
            <w:r w:rsidRPr="00244EFC">
              <w:rPr>
                <w:rFonts w:eastAsiaTheme="minorEastAsia"/>
                <w:bCs/>
                <w:i/>
                <w:w w:val="102"/>
                <w:sz w:val="26"/>
                <w:szCs w:val="26"/>
                <w:shd w:val="clear" w:color="auto" w:fill="FFFFFF"/>
                <w:lang w:eastAsia="en-US"/>
              </w:rPr>
              <w:t>Chống rác thải nhựa</w:t>
            </w:r>
            <w:r w:rsidRPr="00244EFC">
              <w:rPr>
                <w:rFonts w:eastAsiaTheme="minorEastAsia"/>
                <w:w w:val="102"/>
                <w:sz w:val="26"/>
                <w:szCs w:val="26"/>
                <w:shd w:val="clear" w:color="auto" w:fill="FFFFFF"/>
                <w:lang w:eastAsia="en-US"/>
              </w:rPr>
              <w:t xml:space="preserve">" </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Toàn tỉnh</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12</w:t>
            </w:r>
          </w:p>
        </w:tc>
        <w:tc>
          <w:tcPr>
            <w:tcW w:w="3502" w:type="dxa"/>
            <w:vAlign w:val="center"/>
          </w:tcPr>
          <w:p w:rsidR="00024B11" w:rsidRPr="00244EFC" w:rsidRDefault="00024B11" w:rsidP="00407F5F">
            <w:pPr>
              <w:rPr>
                <w:rFonts w:eastAsiaTheme="minorEastAsia"/>
                <w:w w:val="102"/>
                <w:sz w:val="26"/>
                <w:szCs w:val="26"/>
                <w:lang w:val="vi-VN" w:eastAsia="en-US"/>
              </w:rPr>
            </w:pPr>
            <w:r w:rsidRPr="00244EFC">
              <w:rPr>
                <w:rFonts w:eastAsiaTheme="minorEastAsia"/>
                <w:w w:val="102"/>
                <w:sz w:val="26"/>
                <w:szCs w:val="26"/>
                <w:lang w:eastAsia="en-US"/>
              </w:rPr>
              <w:t>Đầu tư xây dựng cơ sở tái chế, xử lý chất thải có công nghệ tiên tiến, thân thiện với môi trường.</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Cơ sở xử lý chất thải rắn sinh hoạt phải đảm bảo tỷ lệ chôn lấp sau xử lý không quá 60%.</w:t>
            </w:r>
          </w:p>
        </w:tc>
        <w:tc>
          <w:tcPr>
            <w:tcW w:w="2411" w:type="dxa"/>
            <w:vAlign w:val="center"/>
          </w:tcPr>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UBND các huyện, TX,TP</w:t>
            </w:r>
          </w:p>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 Sở KH&amp;ĐT</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13</w:t>
            </w:r>
          </w:p>
        </w:tc>
        <w:tc>
          <w:tcPr>
            <w:tcW w:w="3502" w:type="dxa"/>
            <w:vAlign w:val="center"/>
          </w:tcPr>
          <w:p w:rsidR="00024B11" w:rsidRPr="00244EFC" w:rsidRDefault="00024B11" w:rsidP="00407F5F">
            <w:pPr>
              <w:rPr>
                <w:rFonts w:eastAsiaTheme="minorEastAsia"/>
                <w:w w:val="102"/>
                <w:sz w:val="26"/>
                <w:szCs w:val="26"/>
                <w:lang w:eastAsia="en-US"/>
              </w:rPr>
            </w:pPr>
            <w:r w:rsidRPr="00244EFC">
              <w:rPr>
                <w:rFonts w:eastAsiaTheme="minorEastAsia"/>
                <w:w w:val="102"/>
                <w:sz w:val="26"/>
                <w:szCs w:val="26"/>
                <w:lang w:eastAsia="en-US"/>
              </w:rPr>
              <w:t>Cải thiện, duy trì, chất lượng nước Đầm Ô Loan phục vụ cho việc bảo tồn các loại sinh vật đặc hữu.</w:t>
            </w:r>
          </w:p>
          <w:p w:rsidR="00024B11" w:rsidRPr="00244EFC" w:rsidRDefault="00024B11" w:rsidP="00407F5F">
            <w:pPr>
              <w:rPr>
                <w:rFonts w:eastAsiaTheme="minorEastAsia"/>
                <w:w w:val="102"/>
                <w:sz w:val="26"/>
                <w:szCs w:val="26"/>
                <w:lang w:val="vi-VN" w:eastAsia="en-US"/>
              </w:rPr>
            </w:pP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Các đơn vị nuôi trồng thủy sản ven đầm phải có hệ thống xử lý nước thải trước khi xả thải.</w:t>
            </w:r>
          </w:p>
        </w:tc>
        <w:tc>
          <w:tcPr>
            <w:tcW w:w="2411" w:type="dxa"/>
            <w:vAlign w:val="center"/>
          </w:tcPr>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UBND huyện Tuy An</w:t>
            </w:r>
          </w:p>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 Sở NN&amp;PTNT</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14</w:t>
            </w:r>
          </w:p>
        </w:tc>
        <w:tc>
          <w:tcPr>
            <w:tcW w:w="3502" w:type="dxa"/>
            <w:vAlign w:val="center"/>
          </w:tcPr>
          <w:p w:rsidR="00024B11" w:rsidRPr="00244EFC" w:rsidRDefault="00024B11" w:rsidP="00407F5F">
            <w:pPr>
              <w:rPr>
                <w:rFonts w:eastAsiaTheme="minorEastAsia"/>
                <w:w w:val="102"/>
                <w:sz w:val="26"/>
                <w:szCs w:val="26"/>
                <w:lang w:val="vi-VN" w:eastAsia="en-US"/>
              </w:rPr>
            </w:pPr>
            <w:r w:rsidRPr="00244EFC">
              <w:rPr>
                <w:rFonts w:eastAsiaTheme="minorEastAsia"/>
                <w:w w:val="102"/>
                <w:sz w:val="26"/>
                <w:szCs w:val="26"/>
                <w:lang w:val="vi-VN" w:eastAsia="en-US"/>
              </w:rPr>
              <w:t xml:space="preserve">Tập trung hoàn thiện thành lập </w:t>
            </w:r>
            <w:r w:rsidRPr="00244EFC">
              <w:rPr>
                <w:rFonts w:eastAsiaTheme="minorEastAsia"/>
                <w:w w:val="102"/>
                <w:sz w:val="26"/>
                <w:szCs w:val="26"/>
                <w:lang w:eastAsia="en-US"/>
              </w:rPr>
              <w:t xml:space="preserve">các </w:t>
            </w:r>
            <w:r w:rsidRPr="00244EFC">
              <w:rPr>
                <w:rFonts w:eastAsiaTheme="minorEastAsia"/>
                <w:w w:val="102"/>
                <w:sz w:val="26"/>
                <w:szCs w:val="26"/>
                <w:lang w:val="vi-VN" w:eastAsia="en-US"/>
              </w:rPr>
              <w:t>khu</w:t>
            </w:r>
            <w:r w:rsidRPr="00244EFC">
              <w:rPr>
                <w:rFonts w:eastAsiaTheme="minorEastAsia"/>
                <w:w w:val="102"/>
                <w:sz w:val="26"/>
                <w:szCs w:val="26"/>
                <w:lang w:eastAsia="en-US"/>
              </w:rPr>
              <w:t xml:space="preserve"> bảo tồn:</w:t>
            </w:r>
          </w:p>
          <w:p w:rsidR="00024B11" w:rsidRPr="00244EFC" w:rsidRDefault="00024B11" w:rsidP="00407F5F">
            <w:pPr>
              <w:rPr>
                <w:rFonts w:eastAsiaTheme="minorEastAsia"/>
                <w:w w:val="102"/>
                <w:sz w:val="26"/>
                <w:szCs w:val="26"/>
                <w:lang w:val="vi-VN" w:eastAsia="en-US"/>
              </w:rPr>
            </w:pPr>
            <w:r w:rsidRPr="00244EFC">
              <w:rPr>
                <w:rFonts w:eastAsiaTheme="minorEastAsia"/>
                <w:w w:val="102"/>
                <w:sz w:val="26"/>
                <w:szCs w:val="26"/>
                <w:lang w:val="vi-VN" w:eastAsia="en-US"/>
              </w:rPr>
              <w:t>- Bảo tồn biển Hòn Yến.</w:t>
            </w:r>
          </w:p>
          <w:p w:rsidR="00024B11" w:rsidRPr="00244EFC" w:rsidRDefault="00024B11" w:rsidP="00407F5F">
            <w:pPr>
              <w:rPr>
                <w:rFonts w:eastAsiaTheme="minorEastAsia"/>
                <w:w w:val="102"/>
                <w:sz w:val="26"/>
                <w:szCs w:val="26"/>
                <w:lang w:val="vi-VN" w:eastAsia="en-US"/>
              </w:rPr>
            </w:pPr>
            <w:r w:rsidRPr="00244EFC">
              <w:rPr>
                <w:rFonts w:eastAsiaTheme="minorEastAsia"/>
                <w:w w:val="102"/>
                <w:sz w:val="26"/>
                <w:szCs w:val="26"/>
                <w:lang w:val="vi-VN" w:eastAsia="en-US"/>
              </w:rPr>
              <w:t>- Khu bảo tồn loài và sinh cảnh mới cho các loài rùa cạn và rùa nước ngọt quý hiếm.</w:t>
            </w:r>
          </w:p>
        </w:tc>
        <w:tc>
          <w:tcPr>
            <w:tcW w:w="1885" w:type="dxa"/>
            <w:vAlign w:val="center"/>
          </w:tcPr>
          <w:p w:rsidR="00024B11" w:rsidRPr="00244EFC" w:rsidRDefault="00024B11" w:rsidP="00407F5F">
            <w:pPr>
              <w:rPr>
                <w:rFonts w:eastAsiaTheme="minorEastAsia"/>
                <w:w w:val="102"/>
                <w:sz w:val="26"/>
                <w:szCs w:val="26"/>
                <w:lang w:val="vi-VN"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02 khu bảo tồn</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Sở TN&amp;MT</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15</w:t>
            </w:r>
          </w:p>
        </w:tc>
        <w:tc>
          <w:tcPr>
            <w:tcW w:w="3502" w:type="dxa"/>
            <w:vAlign w:val="center"/>
          </w:tcPr>
          <w:p w:rsidR="00024B11" w:rsidRPr="00244EFC" w:rsidRDefault="00024B11" w:rsidP="00407F5F">
            <w:pPr>
              <w:spacing w:before="120"/>
              <w:rPr>
                <w:rFonts w:eastAsiaTheme="minorEastAsia"/>
                <w:w w:val="102"/>
                <w:sz w:val="26"/>
                <w:szCs w:val="26"/>
                <w:lang w:val="vi-VN" w:eastAsia="en-US"/>
              </w:rPr>
            </w:pPr>
            <w:r w:rsidRPr="00244EFC">
              <w:rPr>
                <w:rFonts w:eastAsiaTheme="minorEastAsia"/>
                <w:w w:val="102"/>
                <w:sz w:val="26"/>
                <w:szCs w:val="26"/>
                <w:lang w:eastAsia="en-US"/>
              </w:rPr>
              <w:t>Nâng cao tỷ lệ hộ gia đình khu vực nông thôn có hố xí hợp vệ sinh.</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Trên 90%</w:t>
            </w:r>
          </w:p>
        </w:tc>
        <w:tc>
          <w:tcPr>
            <w:tcW w:w="2411" w:type="dxa"/>
            <w:vAlign w:val="center"/>
          </w:tcPr>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Sở NN&amp;PTNT</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16</w:t>
            </w:r>
          </w:p>
        </w:tc>
        <w:tc>
          <w:tcPr>
            <w:tcW w:w="3502" w:type="dxa"/>
            <w:vAlign w:val="center"/>
          </w:tcPr>
          <w:p w:rsidR="00024B11" w:rsidRPr="00244EFC" w:rsidRDefault="00024B11" w:rsidP="00407F5F">
            <w:pPr>
              <w:rPr>
                <w:rFonts w:eastAsiaTheme="minorEastAsia"/>
                <w:w w:val="102"/>
                <w:sz w:val="26"/>
                <w:szCs w:val="26"/>
                <w:lang w:val="vi-VN" w:eastAsia="en-US"/>
              </w:rPr>
            </w:pPr>
            <w:r w:rsidRPr="00244EFC">
              <w:rPr>
                <w:rFonts w:eastAsiaTheme="minorEastAsia"/>
                <w:w w:val="102"/>
                <w:sz w:val="26"/>
                <w:szCs w:val="26"/>
                <w:lang w:eastAsia="en-US"/>
              </w:rPr>
              <w:t>Phát triển mạng lưới Khí tượng thủy văn chuyên dùng trên địa bàn tỉnh Phú Yên.</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Xây dựng được mạng lưới quan trắc KTTV bảo đảm thống nhất trên toàn tỉnh, đồng bộ với mạng lưới của quốc gia</w:t>
            </w:r>
          </w:p>
        </w:tc>
        <w:tc>
          <w:tcPr>
            <w:tcW w:w="2411" w:type="dxa"/>
            <w:vAlign w:val="center"/>
          </w:tcPr>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Sở TN&amp;MT</w:t>
            </w:r>
          </w:p>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Sở NNPTNT</w:t>
            </w:r>
          </w:p>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Đài KTTV</w:t>
            </w:r>
          </w:p>
        </w:tc>
      </w:tr>
      <w:tr w:rsidR="00024B11" w:rsidRPr="00244EFC" w:rsidTr="00407F5F">
        <w:trPr>
          <w:trHeight w:val="731"/>
        </w:trPr>
        <w:tc>
          <w:tcPr>
            <w:tcW w:w="567" w:type="dxa"/>
            <w:shd w:val="clear" w:color="auto" w:fill="FFFFFF" w:themeFill="background1"/>
            <w:vAlign w:val="center"/>
          </w:tcPr>
          <w:p w:rsidR="00024B11" w:rsidRPr="00244EFC" w:rsidRDefault="00024B11" w:rsidP="00407F5F">
            <w:pPr>
              <w:jc w:val="center"/>
              <w:rPr>
                <w:rFonts w:eastAsiaTheme="minorEastAsia"/>
                <w:w w:val="102"/>
                <w:sz w:val="26"/>
                <w:szCs w:val="26"/>
                <w:lang w:eastAsia="en-US"/>
              </w:rPr>
            </w:pPr>
            <w:r w:rsidRPr="00244EFC">
              <w:rPr>
                <w:rFonts w:eastAsiaTheme="minorEastAsia"/>
                <w:w w:val="102"/>
                <w:sz w:val="26"/>
                <w:szCs w:val="26"/>
                <w:lang w:eastAsia="en-US"/>
              </w:rPr>
              <w:t>17</w:t>
            </w:r>
          </w:p>
        </w:tc>
        <w:tc>
          <w:tcPr>
            <w:tcW w:w="3502" w:type="dxa"/>
            <w:vAlign w:val="center"/>
          </w:tcPr>
          <w:p w:rsidR="00024B11" w:rsidRPr="00244EFC" w:rsidRDefault="00024B11" w:rsidP="00407F5F">
            <w:pPr>
              <w:rPr>
                <w:rFonts w:eastAsiaTheme="minorEastAsia"/>
                <w:w w:val="102"/>
                <w:sz w:val="26"/>
                <w:szCs w:val="26"/>
                <w:lang w:eastAsia="en-US"/>
              </w:rPr>
            </w:pPr>
            <w:r w:rsidRPr="00244EFC">
              <w:rPr>
                <w:rFonts w:eastAsiaTheme="minorEastAsia"/>
                <w:w w:val="102"/>
                <w:sz w:val="26"/>
                <w:szCs w:val="26"/>
                <w:lang w:eastAsia="en-US"/>
              </w:rPr>
              <w:t>Xây dựng trạm quan trắc tự động về chất lượng môi trường nền.</w:t>
            </w:r>
          </w:p>
        </w:tc>
        <w:tc>
          <w:tcPr>
            <w:tcW w:w="1885" w:type="dxa"/>
            <w:vAlign w:val="center"/>
          </w:tcPr>
          <w:p w:rsidR="00024B11" w:rsidRPr="00244EFC" w:rsidRDefault="00024B11" w:rsidP="00407F5F">
            <w:pPr>
              <w:rPr>
                <w:rFonts w:eastAsiaTheme="minorEastAsia"/>
                <w:w w:val="102"/>
                <w:sz w:val="26"/>
                <w:szCs w:val="26"/>
                <w:lang w:eastAsia="en-US"/>
              </w:rPr>
            </w:pPr>
          </w:p>
        </w:tc>
        <w:tc>
          <w:tcPr>
            <w:tcW w:w="2070" w:type="dxa"/>
            <w:vAlign w:val="center"/>
          </w:tcPr>
          <w:p w:rsidR="00024B11" w:rsidRPr="00244EFC" w:rsidRDefault="00024B11" w:rsidP="00407F5F">
            <w:pPr>
              <w:rPr>
                <w:rFonts w:eastAsiaTheme="minorEastAsia"/>
                <w:i/>
                <w:iCs/>
                <w:w w:val="102"/>
                <w:sz w:val="26"/>
                <w:szCs w:val="26"/>
                <w:lang w:eastAsia="en-US"/>
              </w:rPr>
            </w:pPr>
            <w:r w:rsidRPr="00244EFC">
              <w:rPr>
                <w:rFonts w:eastAsiaTheme="minorEastAsia"/>
                <w:w w:val="102"/>
                <w:sz w:val="26"/>
                <w:szCs w:val="26"/>
                <w:lang w:eastAsia="en-US"/>
              </w:rPr>
              <w:t>Đầu tư trạm</w:t>
            </w:r>
            <w:r w:rsidRPr="00244EFC">
              <w:rPr>
                <w:rFonts w:eastAsiaTheme="minorEastAsia"/>
                <w:w w:val="102"/>
                <w:sz w:val="26"/>
                <w:szCs w:val="26"/>
                <w:lang w:val="vi-VN" w:eastAsia="en-US"/>
              </w:rPr>
              <w:t xml:space="preserve"> quan trắc</w:t>
            </w:r>
            <w:r w:rsidRPr="00244EFC">
              <w:rPr>
                <w:rFonts w:eastAsiaTheme="minorEastAsia"/>
                <w:w w:val="102"/>
                <w:sz w:val="26"/>
                <w:szCs w:val="26"/>
                <w:lang w:eastAsia="en-US"/>
              </w:rPr>
              <w:t xml:space="preserve"> tự động</w:t>
            </w:r>
            <w:r>
              <w:rPr>
                <w:rFonts w:eastAsiaTheme="minorEastAsia"/>
                <w:w w:val="102"/>
                <w:sz w:val="26"/>
                <w:szCs w:val="26"/>
                <w:lang w:eastAsia="en-US"/>
              </w:rPr>
              <w:t xml:space="preserve"> </w:t>
            </w:r>
            <w:r w:rsidRPr="00244EFC">
              <w:rPr>
                <w:rFonts w:eastAsiaTheme="minorEastAsia"/>
                <w:w w:val="102"/>
                <w:sz w:val="26"/>
                <w:szCs w:val="26"/>
                <w:lang w:eastAsia="en-US"/>
              </w:rPr>
              <w:t>chất lượng</w:t>
            </w:r>
            <w:r>
              <w:rPr>
                <w:rFonts w:eastAsiaTheme="minorEastAsia"/>
                <w:w w:val="102"/>
                <w:sz w:val="26"/>
                <w:szCs w:val="26"/>
                <w:lang w:eastAsia="en-US"/>
              </w:rPr>
              <w:t xml:space="preserve"> </w:t>
            </w:r>
            <w:r w:rsidRPr="00244EFC">
              <w:rPr>
                <w:rFonts w:eastAsiaTheme="minorEastAsia"/>
                <w:w w:val="102"/>
                <w:sz w:val="26"/>
                <w:szCs w:val="26"/>
                <w:lang w:eastAsia="en-US"/>
              </w:rPr>
              <w:t>môi trường nền tại các khu vực nhạy cảm về môi trường</w:t>
            </w:r>
            <w:r>
              <w:rPr>
                <w:rFonts w:eastAsiaTheme="minorEastAsia"/>
                <w:w w:val="102"/>
                <w:sz w:val="26"/>
                <w:szCs w:val="26"/>
                <w:lang w:eastAsia="en-US"/>
              </w:rPr>
              <w:t>.</w:t>
            </w:r>
          </w:p>
        </w:tc>
        <w:tc>
          <w:tcPr>
            <w:tcW w:w="2411" w:type="dxa"/>
            <w:vAlign w:val="center"/>
          </w:tcPr>
          <w:p w:rsidR="00024B11" w:rsidRPr="00244EFC" w:rsidRDefault="00024B11" w:rsidP="00407F5F">
            <w:pPr>
              <w:jc w:val="left"/>
              <w:rPr>
                <w:rFonts w:eastAsiaTheme="minorEastAsia"/>
                <w:w w:val="102"/>
                <w:sz w:val="26"/>
                <w:szCs w:val="26"/>
                <w:lang w:eastAsia="en-US"/>
              </w:rPr>
            </w:pPr>
            <w:r w:rsidRPr="00244EFC">
              <w:rPr>
                <w:rFonts w:eastAsiaTheme="minorEastAsia"/>
                <w:w w:val="102"/>
                <w:sz w:val="26"/>
                <w:szCs w:val="26"/>
                <w:lang w:eastAsia="en-US"/>
              </w:rPr>
              <w:t>- UBND thị xã, thành phố</w:t>
            </w:r>
          </w:p>
          <w:p w:rsidR="00024B11" w:rsidRPr="00244EFC" w:rsidRDefault="00024B11" w:rsidP="00407F5F">
            <w:pPr>
              <w:jc w:val="left"/>
              <w:rPr>
                <w:rFonts w:eastAsiaTheme="minorEastAsia"/>
                <w:i/>
                <w:iCs/>
                <w:w w:val="102"/>
                <w:sz w:val="26"/>
                <w:szCs w:val="26"/>
                <w:lang w:eastAsia="en-US"/>
              </w:rPr>
            </w:pPr>
            <w:r w:rsidRPr="00244EFC">
              <w:rPr>
                <w:rFonts w:eastAsiaTheme="minorEastAsia"/>
                <w:w w:val="102"/>
                <w:sz w:val="26"/>
                <w:szCs w:val="26"/>
                <w:lang w:eastAsia="en-US"/>
              </w:rPr>
              <w:t>- Sở TN&amp;MT</w:t>
            </w:r>
          </w:p>
        </w:tc>
      </w:tr>
    </w:tbl>
    <w:p w:rsidR="00024B11" w:rsidRPr="00244EFC" w:rsidRDefault="00024B11" w:rsidP="00024B11">
      <w:pPr>
        <w:rPr>
          <w:w w:val="102"/>
          <w:sz w:val="5"/>
        </w:rPr>
      </w:pPr>
    </w:p>
    <w:p w:rsidR="00733818" w:rsidRDefault="00733818">
      <w:bookmarkStart w:id="0" w:name="_GoBack"/>
      <w:bookmarkEnd w:id="0"/>
    </w:p>
    <w:sectPr w:rsidR="00733818" w:rsidSect="00244EFC">
      <w:headerReference w:type="default" r:id="rId5"/>
      <w:pgSz w:w="11906" w:h="16838" w:code="9"/>
      <w:pgMar w:top="1021" w:right="851" w:bottom="964" w:left="1701" w:header="272" w:footer="30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30188"/>
      <w:docPartObj>
        <w:docPartGallery w:val="Page Numbers (Top of Page)"/>
        <w:docPartUnique/>
      </w:docPartObj>
    </w:sdtPr>
    <w:sdtEndPr>
      <w:rPr>
        <w:noProof/>
        <w:sz w:val="24"/>
        <w:szCs w:val="24"/>
      </w:rPr>
    </w:sdtEndPr>
    <w:sdtContent>
      <w:p w:rsidR="00340EFD" w:rsidRPr="00340EFD" w:rsidRDefault="00024B11" w:rsidP="00340EFD">
        <w:pPr>
          <w:pStyle w:val="Header"/>
          <w:rPr>
            <w:sz w:val="12"/>
            <w:szCs w:val="12"/>
          </w:rPr>
        </w:pPr>
        <w:r w:rsidRPr="00340EFD">
          <w:rPr>
            <w:sz w:val="12"/>
            <w:szCs w:val="12"/>
          </w:rPr>
          <w:t>V/T/K</w:t>
        </w:r>
        <w:r>
          <w:rPr>
            <w:sz w:val="12"/>
            <w:szCs w:val="12"/>
          </w:rPr>
          <w:t>h</w:t>
        </w:r>
      </w:p>
      <w:p w:rsidR="001B6798" w:rsidRPr="00340EFD" w:rsidRDefault="00024B11" w:rsidP="00340EFD">
        <w:pPr>
          <w:pStyle w:val="Header"/>
          <w:jc w:val="center"/>
          <w:rPr>
            <w:sz w:val="24"/>
            <w:szCs w:val="24"/>
          </w:rPr>
        </w:pPr>
        <w:r w:rsidRPr="001B6798">
          <w:rPr>
            <w:sz w:val="24"/>
            <w:szCs w:val="24"/>
          </w:rPr>
          <w:fldChar w:fldCharType="begin"/>
        </w:r>
        <w:r w:rsidRPr="001B6798">
          <w:rPr>
            <w:sz w:val="24"/>
            <w:szCs w:val="24"/>
          </w:rPr>
          <w:instrText xml:space="preserve"> PAGE   \* MERGEFORMAT </w:instrText>
        </w:r>
        <w:r w:rsidRPr="001B6798">
          <w:rPr>
            <w:sz w:val="24"/>
            <w:szCs w:val="24"/>
          </w:rPr>
          <w:fldChar w:fldCharType="separate"/>
        </w:r>
        <w:r>
          <w:rPr>
            <w:noProof/>
            <w:sz w:val="24"/>
            <w:szCs w:val="24"/>
          </w:rPr>
          <w:t>2</w:t>
        </w:r>
        <w:r w:rsidRPr="001B6798">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11"/>
    <w:rsid w:val="00024B11"/>
    <w:rsid w:val="0073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exact"/>
        <w:ind w:righ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11"/>
    <w:pPr>
      <w:spacing w:after="0" w:line="240" w:lineRule="auto"/>
      <w:ind w:right="0"/>
    </w:pPr>
    <w:rPr>
      <w:rFonts w:ascii="Times New Roman" w:eastAsia="SimSun" w:hAnsi="Times New Roman" w:cs="Times New Roman"/>
      <w:kern w:val="2"/>
      <w:sz w:val="21"/>
      <w:szCs w:val="21"/>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B11"/>
    <w:pPr>
      <w:tabs>
        <w:tab w:val="center" w:pos="4680"/>
        <w:tab w:val="right" w:pos="9360"/>
      </w:tabs>
    </w:pPr>
  </w:style>
  <w:style w:type="character" w:customStyle="1" w:styleId="HeaderChar">
    <w:name w:val="Header Char"/>
    <w:basedOn w:val="DefaultParagraphFont"/>
    <w:link w:val="Header"/>
    <w:uiPriority w:val="99"/>
    <w:rsid w:val="00024B11"/>
    <w:rPr>
      <w:rFonts w:ascii="Times New Roman" w:eastAsia="SimSun" w:hAnsi="Times New Roman" w:cs="Times New Roman"/>
      <w:kern w:val="2"/>
      <w:sz w:val="21"/>
      <w:szCs w:val="21"/>
      <w:lang w:eastAsia="vi-VN"/>
    </w:rPr>
  </w:style>
  <w:style w:type="table" w:styleId="TableGrid">
    <w:name w:val="Table Grid"/>
    <w:basedOn w:val="TableNormal"/>
    <w:rsid w:val="00024B11"/>
    <w:pPr>
      <w:widowControl w:val="0"/>
      <w:spacing w:after="0" w:line="240" w:lineRule="auto"/>
      <w:ind w:righ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exact"/>
        <w:ind w:righ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11"/>
    <w:pPr>
      <w:spacing w:after="0" w:line="240" w:lineRule="auto"/>
      <w:ind w:right="0"/>
    </w:pPr>
    <w:rPr>
      <w:rFonts w:ascii="Times New Roman" w:eastAsia="SimSun" w:hAnsi="Times New Roman" w:cs="Times New Roman"/>
      <w:kern w:val="2"/>
      <w:sz w:val="21"/>
      <w:szCs w:val="21"/>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B11"/>
    <w:pPr>
      <w:tabs>
        <w:tab w:val="center" w:pos="4680"/>
        <w:tab w:val="right" w:pos="9360"/>
      </w:tabs>
    </w:pPr>
  </w:style>
  <w:style w:type="character" w:customStyle="1" w:styleId="HeaderChar">
    <w:name w:val="Header Char"/>
    <w:basedOn w:val="DefaultParagraphFont"/>
    <w:link w:val="Header"/>
    <w:uiPriority w:val="99"/>
    <w:rsid w:val="00024B11"/>
    <w:rPr>
      <w:rFonts w:ascii="Times New Roman" w:eastAsia="SimSun" w:hAnsi="Times New Roman" w:cs="Times New Roman"/>
      <w:kern w:val="2"/>
      <w:sz w:val="21"/>
      <w:szCs w:val="21"/>
      <w:lang w:eastAsia="vi-VN"/>
    </w:rPr>
  </w:style>
  <w:style w:type="table" w:styleId="TableGrid">
    <w:name w:val="Table Grid"/>
    <w:basedOn w:val="TableNormal"/>
    <w:rsid w:val="00024B11"/>
    <w:pPr>
      <w:widowControl w:val="0"/>
      <w:spacing w:after="0" w:line="240" w:lineRule="auto"/>
      <w:ind w:righ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2021-09-10T08:57:00Z</dcterms:created>
  <dcterms:modified xsi:type="dcterms:W3CDTF">2021-09-10T08:59:00Z</dcterms:modified>
</cp:coreProperties>
</file>